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9FA" w:rsidRPr="003F79FA" w:rsidRDefault="003F79FA" w:rsidP="003F79FA">
      <w:pPr>
        <w:jc w:val="both"/>
        <w:rPr>
          <w:rFonts w:asciiTheme="minorHAnsi" w:hAnsiTheme="minorHAnsi"/>
          <w:b/>
          <w:sz w:val="22"/>
        </w:rPr>
      </w:pPr>
      <w:r w:rsidRPr="003F79FA">
        <w:rPr>
          <w:rFonts w:asciiTheme="minorHAnsi" w:hAnsiTheme="minorHAnsi"/>
          <w:b/>
          <w:sz w:val="22"/>
        </w:rPr>
        <w:t>Bursa, 6.Haziran.2018</w:t>
      </w:r>
    </w:p>
    <w:p w:rsidR="003F79FA" w:rsidRPr="003F79FA" w:rsidRDefault="003F79FA" w:rsidP="003F79FA">
      <w:pPr>
        <w:jc w:val="both"/>
        <w:rPr>
          <w:rFonts w:asciiTheme="minorHAnsi" w:hAnsiTheme="minorHAnsi"/>
          <w:b/>
          <w:sz w:val="22"/>
        </w:rPr>
      </w:pPr>
    </w:p>
    <w:p w:rsidR="003F79FA" w:rsidRPr="003F79FA" w:rsidRDefault="003F79FA" w:rsidP="003F79FA">
      <w:pPr>
        <w:ind w:left="0" w:firstLine="708"/>
        <w:jc w:val="both"/>
        <w:rPr>
          <w:rFonts w:asciiTheme="minorHAnsi" w:hAnsiTheme="minorHAnsi"/>
          <w:b/>
          <w:sz w:val="22"/>
        </w:rPr>
      </w:pPr>
      <w:bookmarkStart w:id="0" w:name="_GoBack"/>
      <w:r w:rsidRPr="003F79FA">
        <w:rPr>
          <w:rFonts w:asciiTheme="minorHAnsi" w:hAnsiTheme="minorHAnsi"/>
          <w:b/>
          <w:sz w:val="22"/>
        </w:rPr>
        <w:t xml:space="preserve">TÜİK VE MERKEZ BANKASINA GÖRE TÜRKİYENİN DURUMU </w:t>
      </w:r>
      <w:r>
        <w:rPr>
          <w:rFonts w:asciiTheme="minorHAnsi" w:hAnsiTheme="minorHAnsi"/>
          <w:b/>
          <w:sz w:val="22"/>
        </w:rPr>
        <w:t>(1)</w:t>
      </w:r>
    </w:p>
    <w:bookmarkEnd w:id="0"/>
    <w:p w:rsidR="003F79FA" w:rsidRPr="00FD0388" w:rsidRDefault="003F79FA" w:rsidP="003F79FA">
      <w:pPr>
        <w:jc w:val="both"/>
        <w:rPr>
          <w:rFonts w:asciiTheme="minorHAnsi" w:hAnsiTheme="minorHAnsi"/>
          <w:sz w:val="22"/>
        </w:rPr>
      </w:pPr>
    </w:p>
    <w:p w:rsidR="003F79FA" w:rsidRPr="00FD0388" w:rsidRDefault="003F79FA" w:rsidP="003F79FA">
      <w:pPr>
        <w:jc w:val="both"/>
        <w:rPr>
          <w:rFonts w:asciiTheme="minorHAnsi" w:hAnsiTheme="minorHAnsi"/>
          <w:sz w:val="22"/>
        </w:rPr>
      </w:pPr>
      <w:r w:rsidRPr="00FD0388">
        <w:rPr>
          <w:rFonts w:asciiTheme="minorHAnsi" w:hAnsiTheme="minorHAnsi"/>
          <w:sz w:val="22"/>
        </w:rPr>
        <w:tab/>
      </w:r>
      <w:r w:rsidRPr="00FD0388">
        <w:rPr>
          <w:rFonts w:asciiTheme="minorHAnsi" w:hAnsiTheme="minorHAnsi"/>
          <w:sz w:val="22"/>
        </w:rPr>
        <w:tab/>
        <w:t xml:space="preserve">Türkiye’nin erken seçim ortamına girmesi ile özellikle döviz kurlarında ülke aleyhinde bir takım gelişmeler olmuş ve bana göre Merkez Bankası müdahalelerde gecikmiştir. Peki, Merkez Bankası kaynakları ülkenin durumunu nasıl görüyor ve </w:t>
      </w:r>
      <w:proofErr w:type="spellStart"/>
      <w:r w:rsidRPr="00FD0388">
        <w:rPr>
          <w:rFonts w:asciiTheme="minorHAnsi" w:hAnsiTheme="minorHAnsi"/>
          <w:sz w:val="22"/>
        </w:rPr>
        <w:t>Tüik</w:t>
      </w:r>
      <w:proofErr w:type="spellEnd"/>
      <w:r w:rsidRPr="00FD0388">
        <w:rPr>
          <w:rFonts w:asciiTheme="minorHAnsi" w:hAnsiTheme="minorHAnsi"/>
          <w:sz w:val="22"/>
        </w:rPr>
        <w:t xml:space="preserve"> istatistiklerine göre ülkenin durumu nasıldır? Bir de onların rapor ve çalışmalarını inceleyelim dedik ve Önce </w:t>
      </w:r>
      <w:proofErr w:type="spellStart"/>
      <w:r w:rsidRPr="00FD0388">
        <w:rPr>
          <w:rFonts w:asciiTheme="minorHAnsi" w:hAnsiTheme="minorHAnsi"/>
          <w:sz w:val="22"/>
        </w:rPr>
        <w:t>Tüik</w:t>
      </w:r>
      <w:proofErr w:type="spellEnd"/>
      <w:r w:rsidRPr="00FD0388">
        <w:rPr>
          <w:rFonts w:asciiTheme="minorHAnsi" w:hAnsiTheme="minorHAnsi"/>
          <w:sz w:val="22"/>
        </w:rPr>
        <w:t xml:space="preserve"> ten bazı rakamları aldık. Merkez Bankasının da Mayıs 2018 tarihli Finansal İstikrar raporundan alıntılar yaptım. </w:t>
      </w:r>
    </w:p>
    <w:p w:rsidR="003F79FA" w:rsidRPr="00FD0388" w:rsidRDefault="003F79FA" w:rsidP="003F79FA">
      <w:pPr>
        <w:jc w:val="both"/>
        <w:rPr>
          <w:rFonts w:asciiTheme="minorHAnsi" w:hAnsiTheme="minorHAnsi"/>
          <w:sz w:val="22"/>
        </w:rPr>
      </w:pPr>
      <w:r w:rsidRPr="00FD0388">
        <w:rPr>
          <w:rFonts w:asciiTheme="minorHAnsi" w:hAnsiTheme="minorHAnsi"/>
          <w:sz w:val="22"/>
        </w:rPr>
        <w:tab/>
      </w:r>
      <w:r w:rsidRPr="00FD0388">
        <w:rPr>
          <w:rFonts w:asciiTheme="minorHAnsi" w:hAnsiTheme="minorHAnsi"/>
          <w:sz w:val="22"/>
        </w:rPr>
        <w:tab/>
        <w:t xml:space="preserve">Finansal İstikrar raporu 107 sayfalık grafik ve rakamlarla dolu güzel bir rapor, isteyen okurlarım internetten bulup okuyabilir. Hakikaten güzel hazırlanmış bir rapor diye iddia ediyorum. </w:t>
      </w:r>
    </w:p>
    <w:p w:rsidR="003F79FA" w:rsidRPr="00FD0388" w:rsidRDefault="003F79FA" w:rsidP="003F79FA">
      <w:pPr>
        <w:jc w:val="both"/>
        <w:rPr>
          <w:rFonts w:asciiTheme="minorHAnsi" w:hAnsiTheme="minorHAnsi"/>
          <w:sz w:val="22"/>
        </w:rPr>
      </w:pPr>
      <w:r w:rsidRPr="00FD0388">
        <w:rPr>
          <w:rFonts w:asciiTheme="minorHAnsi" w:hAnsiTheme="minorHAnsi"/>
          <w:sz w:val="22"/>
        </w:rPr>
        <w:t xml:space="preserve">TÜİK’TEN SEÇİLMİŞ RAKAMLAR: </w:t>
      </w:r>
    </w:p>
    <w:p w:rsidR="003F79FA" w:rsidRPr="00FD0388" w:rsidRDefault="003F79FA" w:rsidP="003F79FA">
      <w:pPr>
        <w:jc w:val="both"/>
        <w:rPr>
          <w:rFonts w:asciiTheme="minorHAnsi" w:hAnsiTheme="minorHAnsi"/>
          <w:sz w:val="22"/>
        </w:rPr>
      </w:pPr>
      <w:r w:rsidRPr="00FD0388">
        <w:rPr>
          <w:rFonts w:asciiTheme="minorHAnsi" w:hAnsiTheme="minorHAnsi"/>
          <w:sz w:val="22"/>
        </w:rPr>
        <w:t>Önce Bazı İstatistiki rakamlar alıyorum, büyüme rakamları Merkez Bankası raporundadır.</w:t>
      </w:r>
    </w:p>
    <w:p w:rsidR="003F79FA" w:rsidRPr="00FD0388" w:rsidRDefault="003F79FA" w:rsidP="003F79FA">
      <w:pPr>
        <w:jc w:val="both"/>
        <w:rPr>
          <w:rFonts w:asciiTheme="minorHAnsi" w:hAnsiTheme="minorHAnsi"/>
          <w:sz w:val="22"/>
        </w:rPr>
      </w:pPr>
      <w:r w:rsidRPr="00FD0388">
        <w:rPr>
          <w:rFonts w:asciiTheme="minorHAnsi" w:hAnsiTheme="minorHAnsi"/>
          <w:sz w:val="22"/>
        </w:rPr>
        <w:t>Tüfe-Tüketici fiyat endeksi ile enflasyon 2017 yılında %11.92 Mayıs 2018 sonu %6,39</w:t>
      </w:r>
    </w:p>
    <w:p w:rsidR="003F79FA" w:rsidRPr="00FD0388" w:rsidRDefault="003F79FA" w:rsidP="003F79FA">
      <w:pPr>
        <w:jc w:val="both"/>
        <w:rPr>
          <w:rFonts w:asciiTheme="minorHAnsi" w:hAnsiTheme="minorHAnsi"/>
          <w:sz w:val="22"/>
        </w:rPr>
      </w:pPr>
      <w:proofErr w:type="spellStart"/>
      <w:r w:rsidRPr="00FD0388">
        <w:rPr>
          <w:rFonts w:asciiTheme="minorHAnsi" w:hAnsiTheme="minorHAnsi"/>
          <w:sz w:val="22"/>
        </w:rPr>
        <w:t>Yi-Üfe</w:t>
      </w:r>
      <w:proofErr w:type="spellEnd"/>
      <w:r w:rsidRPr="00FD0388">
        <w:rPr>
          <w:rFonts w:asciiTheme="minorHAnsi" w:hAnsiTheme="minorHAnsi"/>
          <w:sz w:val="22"/>
        </w:rPr>
        <w:t xml:space="preserve"> Yurtiçi üretici fiyatları ile enflasyon 2017 yılında %15,47 Mayıs 2018 sonu %12,12</w:t>
      </w:r>
    </w:p>
    <w:p w:rsidR="003F79FA" w:rsidRPr="00FD0388" w:rsidRDefault="003F79FA" w:rsidP="003F79FA">
      <w:pPr>
        <w:jc w:val="both"/>
        <w:rPr>
          <w:rFonts w:asciiTheme="minorHAnsi" w:hAnsiTheme="minorHAnsi"/>
          <w:sz w:val="22"/>
        </w:rPr>
      </w:pPr>
      <w:r w:rsidRPr="00FD0388">
        <w:rPr>
          <w:rFonts w:asciiTheme="minorHAnsi" w:hAnsiTheme="minorHAnsi"/>
          <w:sz w:val="22"/>
        </w:rPr>
        <w:t xml:space="preserve">Kişi başına yurtiçi GSMH 2016 yılı 11.019 $, 2016 yılı 10.883 $ 2017 yılı ise 10.597 $ </w:t>
      </w:r>
      <w:proofErr w:type="spellStart"/>
      <w:proofErr w:type="gramStart"/>
      <w:r w:rsidRPr="00FD0388">
        <w:rPr>
          <w:rFonts w:asciiTheme="minorHAnsi" w:hAnsiTheme="minorHAnsi"/>
          <w:sz w:val="22"/>
        </w:rPr>
        <w:t>dır</w:t>
      </w:r>
      <w:proofErr w:type="spellEnd"/>
      <w:proofErr w:type="gramEnd"/>
      <w:r w:rsidRPr="00FD0388">
        <w:rPr>
          <w:rFonts w:asciiTheme="minorHAnsi" w:hAnsiTheme="minorHAnsi"/>
          <w:sz w:val="22"/>
        </w:rPr>
        <w:t xml:space="preserve">. </w:t>
      </w:r>
    </w:p>
    <w:p w:rsidR="003F79FA" w:rsidRPr="00FD0388" w:rsidRDefault="003F79FA" w:rsidP="003F79FA">
      <w:pPr>
        <w:jc w:val="both"/>
        <w:rPr>
          <w:rFonts w:asciiTheme="minorHAnsi" w:hAnsiTheme="minorHAnsi"/>
          <w:sz w:val="22"/>
        </w:rPr>
      </w:pPr>
      <w:r w:rsidRPr="00FD0388">
        <w:rPr>
          <w:rFonts w:asciiTheme="minorHAnsi" w:hAnsiTheme="minorHAnsi"/>
          <w:sz w:val="22"/>
        </w:rPr>
        <w:t xml:space="preserve">İstihdam oranı </w:t>
      </w:r>
      <w:proofErr w:type="gramStart"/>
      <w:r w:rsidRPr="00FD0388">
        <w:rPr>
          <w:rFonts w:asciiTheme="minorHAnsi" w:hAnsiTheme="minorHAnsi"/>
          <w:sz w:val="22"/>
        </w:rPr>
        <w:t>2018  Ocak</w:t>
      </w:r>
      <w:proofErr w:type="gramEnd"/>
      <w:r w:rsidRPr="00FD0388">
        <w:rPr>
          <w:rFonts w:asciiTheme="minorHAnsi" w:hAnsiTheme="minorHAnsi"/>
          <w:sz w:val="22"/>
        </w:rPr>
        <w:t xml:space="preserve"> ayında %46,4 Şubat ayında %46,6 ya ulaşmıştır. </w:t>
      </w:r>
    </w:p>
    <w:p w:rsidR="003F79FA" w:rsidRPr="00FD0388" w:rsidRDefault="003F79FA" w:rsidP="003F79FA">
      <w:pPr>
        <w:jc w:val="both"/>
        <w:rPr>
          <w:rFonts w:asciiTheme="minorHAnsi" w:hAnsiTheme="minorHAnsi"/>
          <w:sz w:val="22"/>
        </w:rPr>
      </w:pPr>
      <w:r w:rsidRPr="00FD0388">
        <w:rPr>
          <w:rFonts w:asciiTheme="minorHAnsi" w:hAnsiTheme="minorHAnsi"/>
          <w:sz w:val="22"/>
        </w:rPr>
        <w:t xml:space="preserve">İşsizlik oranı 2018 Ocak ayında %10,8 Şubat ayında %10,6 olmuştur. </w:t>
      </w:r>
    </w:p>
    <w:p w:rsidR="003F79FA" w:rsidRPr="00FD0388" w:rsidRDefault="003F79FA" w:rsidP="003F79FA">
      <w:pPr>
        <w:jc w:val="both"/>
        <w:rPr>
          <w:rFonts w:asciiTheme="minorHAnsi" w:hAnsiTheme="minorHAnsi"/>
          <w:sz w:val="22"/>
        </w:rPr>
      </w:pPr>
      <w:r w:rsidRPr="00FD0388">
        <w:rPr>
          <w:rFonts w:asciiTheme="minorHAnsi" w:hAnsiTheme="minorHAnsi"/>
          <w:sz w:val="22"/>
        </w:rPr>
        <w:t xml:space="preserve">Dış Ticarete </w:t>
      </w:r>
      <w:proofErr w:type="gramStart"/>
      <w:r w:rsidRPr="00FD0388">
        <w:rPr>
          <w:rFonts w:asciiTheme="minorHAnsi" w:hAnsiTheme="minorHAnsi"/>
          <w:sz w:val="22"/>
        </w:rPr>
        <w:t>gelince : Cumhuriyetin</w:t>
      </w:r>
      <w:proofErr w:type="gramEnd"/>
      <w:r w:rsidRPr="00FD0388">
        <w:rPr>
          <w:rFonts w:asciiTheme="minorHAnsi" w:hAnsiTheme="minorHAnsi"/>
          <w:sz w:val="22"/>
        </w:rPr>
        <w:t xml:space="preserve"> kuruluşundan itibaren bazı atılımların veya olayların gerçekleştiği yıllarda, dış ticaret rakamlarını dolar olarak ve cari açıkla ihracatın ithalatı Karşılama oranlarını  yazıma aldım.</w:t>
      </w:r>
    </w:p>
    <w:p w:rsidR="003F79FA" w:rsidRPr="00FD0388" w:rsidRDefault="003F79FA" w:rsidP="003F79FA">
      <w:pPr>
        <w:jc w:val="both"/>
        <w:rPr>
          <w:rFonts w:asciiTheme="minorHAnsi" w:hAnsiTheme="minorHAnsi"/>
          <w:sz w:val="22"/>
        </w:rPr>
      </w:pPr>
      <w:r w:rsidRPr="00FD0388">
        <w:rPr>
          <w:rFonts w:asciiTheme="minorHAnsi" w:hAnsiTheme="minorHAnsi"/>
          <w:sz w:val="22"/>
        </w:rPr>
        <w:tab/>
      </w:r>
      <w:r w:rsidRPr="00FD0388">
        <w:rPr>
          <w:rFonts w:asciiTheme="minorHAnsi" w:hAnsiTheme="minorHAnsi"/>
          <w:sz w:val="22"/>
        </w:rPr>
        <w:tab/>
      </w:r>
    </w:p>
    <w:tbl>
      <w:tblPr>
        <w:tblW w:w="7088" w:type="dxa"/>
        <w:tblInd w:w="1134" w:type="dxa"/>
        <w:tblCellMar>
          <w:left w:w="70" w:type="dxa"/>
          <w:right w:w="70" w:type="dxa"/>
        </w:tblCellMar>
        <w:tblLook w:val="04A0" w:firstRow="1" w:lastRow="0" w:firstColumn="1" w:lastColumn="0" w:noHBand="0" w:noVBand="1"/>
      </w:tblPr>
      <w:tblGrid>
        <w:gridCol w:w="1134"/>
        <w:gridCol w:w="1701"/>
        <w:gridCol w:w="1418"/>
        <w:gridCol w:w="1276"/>
        <w:gridCol w:w="1559"/>
      </w:tblGrid>
      <w:tr w:rsidR="003F79FA" w:rsidRPr="006B37B1" w:rsidTr="00963697">
        <w:trPr>
          <w:trHeight w:val="300"/>
        </w:trPr>
        <w:tc>
          <w:tcPr>
            <w:tcW w:w="1134" w:type="dxa"/>
            <w:tcBorders>
              <w:top w:val="nil"/>
              <w:left w:val="nil"/>
              <w:bottom w:val="nil"/>
              <w:right w:val="nil"/>
            </w:tcBorders>
            <w:shd w:val="clear" w:color="auto" w:fill="auto"/>
            <w:noWrap/>
            <w:vAlign w:val="center"/>
            <w:hideMark/>
          </w:tcPr>
          <w:p w:rsidR="003F79FA" w:rsidRPr="006B37B1" w:rsidRDefault="003F79FA" w:rsidP="00963697">
            <w:pPr>
              <w:spacing w:after="0" w:line="240" w:lineRule="auto"/>
              <w:ind w:left="0" w:firstLine="0"/>
              <w:rPr>
                <w:rFonts w:asciiTheme="minorHAnsi" w:eastAsia="Times New Roman" w:hAnsiTheme="minorHAnsi" w:cs="Arial"/>
                <w:color w:val="auto"/>
                <w:sz w:val="22"/>
              </w:rPr>
            </w:pPr>
            <w:r w:rsidRPr="006B37B1">
              <w:rPr>
                <w:rFonts w:asciiTheme="minorHAnsi" w:eastAsia="Times New Roman" w:hAnsiTheme="minorHAnsi" w:cs="Arial"/>
                <w:color w:val="auto"/>
                <w:sz w:val="22"/>
              </w:rPr>
              <w:t>Yıllar</w:t>
            </w:r>
          </w:p>
        </w:tc>
        <w:tc>
          <w:tcPr>
            <w:tcW w:w="1701" w:type="dxa"/>
            <w:tcBorders>
              <w:top w:val="nil"/>
              <w:left w:val="nil"/>
              <w:bottom w:val="nil"/>
              <w:right w:val="nil"/>
            </w:tcBorders>
            <w:shd w:val="clear" w:color="auto" w:fill="auto"/>
            <w:noWrap/>
            <w:vAlign w:val="center"/>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İhracat</w:t>
            </w:r>
          </w:p>
        </w:tc>
        <w:tc>
          <w:tcPr>
            <w:tcW w:w="1418" w:type="dxa"/>
            <w:tcBorders>
              <w:top w:val="nil"/>
              <w:left w:val="nil"/>
              <w:bottom w:val="nil"/>
              <w:right w:val="nil"/>
            </w:tcBorders>
            <w:shd w:val="clear" w:color="auto" w:fill="auto"/>
            <w:noWrap/>
            <w:vAlign w:val="center"/>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İthalat</w:t>
            </w:r>
          </w:p>
        </w:tc>
        <w:tc>
          <w:tcPr>
            <w:tcW w:w="1276" w:type="dxa"/>
            <w:tcBorders>
              <w:top w:val="nil"/>
              <w:left w:val="nil"/>
              <w:bottom w:val="nil"/>
              <w:right w:val="nil"/>
            </w:tcBorders>
            <w:shd w:val="clear" w:color="auto" w:fill="auto"/>
            <w:noWrap/>
            <w:vAlign w:val="center"/>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 xml:space="preserve">Cari Açık </w:t>
            </w:r>
          </w:p>
        </w:tc>
        <w:tc>
          <w:tcPr>
            <w:tcW w:w="1559" w:type="dxa"/>
            <w:tcBorders>
              <w:top w:val="nil"/>
              <w:left w:val="nil"/>
              <w:bottom w:val="nil"/>
              <w:right w:val="nil"/>
            </w:tcBorders>
            <w:shd w:val="clear" w:color="auto" w:fill="auto"/>
            <w:noWrap/>
            <w:vAlign w:val="center"/>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 xml:space="preserve">İthal Karşılama </w:t>
            </w:r>
          </w:p>
        </w:tc>
      </w:tr>
      <w:tr w:rsidR="003F79FA" w:rsidRPr="006B37B1" w:rsidTr="00963697">
        <w:trPr>
          <w:trHeight w:val="300"/>
        </w:trPr>
        <w:tc>
          <w:tcPr>
            <w:tcW w:w="1134" w:type="dxa"/>
            <w:tcBorders>
              <w:top w:val="nil"/>
              <w:left w:val="nil"/>
              <w:bottom w:val="single" w:sz="4" w:space="0" w:color="auto"/>
              <w:right w:val="nil"/>
            </w:tcBorders>
            <w:shd w:val="clear" w:color="auto" w:fill="auto"/>
            <w:noWrap/>
            <w:vAlign w:val="center"/>
            <w:hideMark/>
          </w:tcPr>
          <w:p w:rsidR="003F79FA" w:rsidRPr="006B37B1" w:rsidRDefault="003F79FA" w:rsidP="00963697">
            <w:pPr>
              <w:spacing w:after="0" w:line="240" w:lineRule="auto"/>
              <w:ind w:left="0" w:firstLine="0"/>
              <w:rPr>
                <w:rFonts w:asciiTheme="minorHAnsi" w:eastAsia="Times New Roman" w:hAnsiTheme="minorHAnsi" w:cs="Arial"/>
                <w:color w:val="auto"/>
                <w:sz w:val="22"/>
              </w:rPr>
            </w:pPr>
            <w:r w:rsidRPr="006B37B1">
              <w:rPr>
                <w:rFonts w:asciiTheme="minorHAnsi" w:eastAsia="Times New Roman" w:hAnsiTheme="minorHAnsi" w:cs="Arial"/>
                <w:color w:val="auto"/>
                <w:sz w:val="22"/>
              </w:rPr>
              <w:t xml:space="preserve"> </w:t>
            </w:r>
          </w:p>
        </w:tc>
        <w:tc>
          <w:tcPr>
            <w:tcW w:w="1701" w:type="dxa"/>
            <w:tcBorders>
              <w:top w:val="nil"/>
              <w:left w:val="nil"/>
              <w:bottom w:val="nil"/>
              <w:right w:val="nil"/>
            </w:tcBorders>
            <w:shd w:val="clear" w:color="auto" w:fill="auto"/>
            <w:noWrap/>
            <w:vAlign w:val="center"/>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Değer $</w:t>
            </w:r>
          </w:p>
        </w:tc>
        <w:tc>
          <w:tcPr>
            <w:tcW w:w="1418" w:type="dxa"/>
            <w:tcBorders>
              <w:top w:val="nil"/>
              <w:left w:val="nil"/>
              <w:bottom w:val="nil"/>
              <w:right w:val="nil"/>
            </w:tcBorders>
            <w:shd w:val="clear" w:color="auto" w:fill="auto"/>
            <w:noWrap/>
            <w:vAlign w:val="center"/>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Değer   $</w:t>
            </w:r>
          </w:p>
        </w:tc>
        <w:tc>
          <w:tcPr>
            <w:tcW w:w="1276" w:type="dxa"/>
            <w:tcBorders>
              <w:top w:val="nil"/>
              <w:left w:val="nil"/>
              <w:bottom w:val="nil"/>
              <w:right w:val="nil"/>
            </w:tcBorders>
            <w:shd w:val="clear" w:color="auto" w:fill="auto"/>
            <w:noWrap/>
            <w:vAlign w:val="center"/>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Değer $</w:t>
            </w:r>
          </w:p>
        </w:tc>
        <w:tc>
          <w:tcPr>
            <w:tcW w:w="1559"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Oranı %</w:t>
            </w:r>
          </w:p>
        </w:tc>
      </w:tr>
      <w:tr w:rsidR="003F79FA" w:rsidRPr="006B37B1" w:rsidTr="00963697">
        <w:trPr>
          <w:trHeight w:val="300"/>
        </w:trPr>
        <w:tc>
          <w:tcPr>
            <w:tcW w:w="1134"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rPr>
                <w:rFonts w:asciiTheme="minorHAnsi" w:eastAsia="Times New Roman" w:hAnsiTheme="minorHAnsi" w:cs="Arial"/>
                <w:color w:val="auto"/>
                <w:sz w:val="22"/>
              </w:rPr>
            </w:pPr>
            <w:r w:rsidRPr="006B37B1">
              <w:rPr>
                <w:rFonts w:asciiTheme="minorHAnsi" w:eastAsia="Times New Roman" w:hAnsiTheme="minorHAnsi" w:cs="Arial"/>
                <w:color w:val="auto"/>
                <w:sz w:val="22"/>
              </w:rPr>
              <w:t xml:space="preserve">1923 </w:t>
            </w:r>
          </w:p>
        </w:tc>
        <w:tc>
          <w:tcPr>
            <w:tcW w:w="1701"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 xml:space="preserve"> 50 790</w:t>
            </w:r>
          </w:p>
        </w:tc>
        <w:tc>
          <w:tcPr>
            <w:tcW w:w="1418"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 xml:space="preserve"> 86 872</w:t>
            </w:r>
          </w:p>
        </w:tc>
        <w:tc>
          <w:tcPr>
            <w:tcW w:w="1276"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- 36 082</w:t>
            </w:r>
          </w:p>
        </w:tc>
        <w:tc>
          <w:tcPr>
            <w:tcW w:w="1559"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58,5</w:t>
            </w:r>
          </w:p>
        </w:tc>
      </w:tr>
      <w:tr w:rsidR="003F79FA" w:rsidRPr="006B37B1" w:rsidTr="00963697">
        <w:trPr>
          <w:trHeight w:val="300"/>
        </w:trPr>
        <w:tc>
          <w:tcPr>
            <w:tcW w:w="1134"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rPr>
                <w:rFonts w:asciiTheme="minorHAnsi" w:eastAsia="Times New Roman" w:hAnsiTheme="minorHAnsi" w:cs="Arial"/>
                <w:color w:val="auto"/>
                <w:sz w:val="22"/>
              </w:rPr>
            </w:pPr>
            <w:r w:rsidRPr="006B37B1">
              <w:rPr>
                <w:rFonts w:asciiTheme="minorHAnsi" w:eastAsia="Times New Roman" w:hAnsiTheme="minorHAnsi" w:cs="Arial"/>
                <w:color w:val="auto"/>
                <w:sz w:val="22"/>
              </w:rPr>
              <w:t>1950</w:t>
            </w:r>
          </w:p>
        </w:tc>
        <w:tc>
          <w:tcPr>
            <w:tcW w:w="1701"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 xml:space="preserve"> 263 424</w:t>
            </w:r>
          </w:p>
        </w:tc>
        <w:tc>
          <w:tcPr>
            <w:tcW w:w="1418"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 xml:space="preserve"> 285 664</w:t>
            </w:r>
          </w:p>
        </w:tc>
        <w:tc>
          <w:tcPr>
            <w:tcW w:w="1276"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- 22 240</w:t>
            </w:r>
          </w:p>
        </w:tc>
        <w:tc>
          <w:tcPr>
            <w:tcW w:w="1559"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92,2</w:t>
            </w:r>
          </w:p>
        </w:tc>
      </w:tr>
      <w:tr w:rsidR="003F79FA" w:rsidRPr="006B37B1" w:rsidTr="00963697">
        <w:trPr>
          <w:trHeight w:val="300"/>
        </w:trPr>
        <w:tc>
          <w:tcPr>
            <w:tcW w:w="1134"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rPr>
                <w:rFonts w:asciiTheme="minorHAnsi" w:eastAsia="Times New Roman" w:hAnsiTheme="minorHAnsi" w:cs="Arial"/>
                <w:color w:val="auto"/>
                <w:sz w:val="22"/>
              </w:rPr>
            </w:pPr>
            <w:r w:rsidRPr="006B37B1">
              <w:rPr>
                <w:rFonts w:asciiTheme="minorHAnsi" w:eastAsia="Times New Roman" w:hAnsiTheme="minorHAnsi" w:cs="Arial"/>
                <w:color w:val="auto"/>
                <w:sz w:val="22"/>
              </w:rPr>
              <w:t>1973</w:t>
            </w:r>
          </w:p>
        </w:tc>
        <w:tc>
          <w:tcPr>
            <w:tcW w:w="1701"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1 317 083</w:t>
            </w:r>
          </w:p>
        </w:tc>
        <w:tc>
          <w:tcPr>
            <w:tcW w:w="1418"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2 086 216</w:t>
            </w:r>
          </w:p>
        </w:tc>
        <w:tc>
          <w:tcPr>
            <w:tcW w:w="1276"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- 769 133</w:t>
            </w:r>
          </w:p>
        </w:tc>
        <w:tc>
          <w:tcPr>
            <w:tcW w:w="1559"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63,1</w:t>
            </w:r>
          </w:p>
        </w:tc>
      </w:tr>
      <w:tr w:rsidR="003F79FA" w:rsidRPr="006B37B1" w:rsidTr="00963697">
        <w:trPr>
          <w:trHeight w:val="300"/>
        </w:trPr>
        <w:tc>
          <w:tcPr>
            <w:tcW w:w="1134"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rPr>
                <w:rFonts w:asciiTheme="minorHAnsi" w:eastAsia="Times New Roman" w:hAnsiTheme="minorHAnsi" w:cs="Arial"/>
                <w:color w:val="auto"/>
                <w:sz w:val="22"/>
              </w:rPr>
            </w:pPr>
            <w:r w:rsidRPr="006B37B1">
              <w:rPr>
                <w:rFonts w:asciiTheme="minorHAnsi" w:eastAsia="Times New Roman" w:hAnsiTheme="minorHAnsi" w:cs="Arial"/>
                <w:color w:val="auto"/>
                <w:sz w:val="22"/>
              </w:rPr>
              <w:t>2002</w:t>
            </w:r>
          </w:p>
        </w:tc>
        <w:tc>
          <w:tcPr>
            <w:tcW w:w="1701"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36 059 089</w:t>
            </w:r>
          </w:p>
        </w:tc>
        <w:tc>
          <w:tcPr>
            <w:tcW w:w="1418"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51 553 797</w:t>
            </w:r>
          </w:p>
        </w:tc>
        <w:tc>
          <w:tcPr>
            <w:tcW w:w="1276"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-15 494 708</w:t>
            </w:r>
          </w:p>
        </w:tc>
        <w:tc>
          <w:tcPr>
            <w:tcW w:w="1559"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69,9</w:t>
            </w:r>
          </w:p>
        </w:tc>
      </w:tr>
      <w:tr w:rsidR="003F79FA" w:rsidRPr="006B37B1" w:rsidTr="00963697">
        <w:trPr>
          <w:trHeight w:val="300"/>
        </w:trPr>
        <w:tc>
          <w:tcPr>
            <w:tcW w:w="1134"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rPr>
                <w:rFonts w:asciiTheme="minorHAnsi" w:eastAsia="Times New Roman" w:hAnsiTheme="minorHAnsi" w:cs="Arial"/>
                <w:color w:val="auto"/>
                <w:sz w:val="22"/>
              </w:rPr>
            </w:pPr>
            <w:r w:rsidRPr="006B37B1">
              <w:rPr>
                <w:rFonts w:asciiTheme="minorHAnsi" w:eastAsia="Times New Roman" w:hAnsiTheme="minorHAnsi" w:cs="Arial"/>
                <w:color w:val="auto"/>
                <w:sz w:val="22"/>
              </w:rPr>
              <w:t>2012</w:t>
            </w:r>
          </w:p>
        </w:tc>
        <w:tc>
          <w:tcPr>
            <w:tcW w:w="1701" w:type="dxa"/>
            <w:tcBorders>
              <w:top w:val="nil"/>
              <w:left w:val="nil"/>
              <w:bottom w:val="nil"/>
              <w:right w:val="nil"/>
            </w:tcBorders>
            <w:shd w:val="clear" w:color="000000" w:fill="FFFFFF"/>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000000"/>
                <w:sz w:val="22"/>
              </w:rPr>
            </w:pPr>
            <w:r w:rsidRPr="006B37B1">
              <w:rPr>
                <w:rFonts w:asciiTheme="minorHAnsi" w:eastAsia="Times New Roman" w:hAnsiTheme="minorHAnsi" w:cs="Arial"/>
                <w:color w:val="000000"/>
                <w:sz w:val="22"/>
              </w:rPr>
              <w:t xml:space="preserve">   152 461 737</w:t>
            </w:r>
          </w:p>
        </w:tc>
        <w:tc>
          <w:tcPr>
            <w:tcW w:w="1418" w:type="dxa"/>
            <w:tcBorders>
              <w:top w:val="nil"/>
              <w:left w:val="nil"/>
              <w:bottom w:val="nil"/>
              <w:right w:val="nil"/>
            </w:tcBorders>
            <w:shd w:val="clear" w:color="000000" w:fill="FFFFFF"/>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000000"/>
                <w:sz w:val="22"/>
              </w:rPr>
            </w:pPr>
            <w:r w:rsidRPr="006B37B1">
              <w:rPr>
                <w:rFonts w:asciiTheme="minorHAnsi" w:eastAsia="Times New Roman" w:hAnsiTheme="minorHAnsi" w:cs="Arial"/>
                <w:color w:val="000000"/>
                <w:sz w:val="22"/>
              </w:rPr>
              <w:t xml:space="preserve">   236 545 141</w:t>
            </w:r>
          </w:p>
        </w:tc>
        <w:tc>
          <w:tcPr>
            <w:tcW w:w="1276"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  84 083 404</w:t>
            </w:r>
          </w:p>
        </w:tc>
        <w:tc>
          <w:tcPr>
            <w:tcW w:w="1559"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auto"/>
                <w:sz w:val="22"/>
              </w:rPr>
            </w:pPr>
            <w:r w:rsidRPr="006B37B1">
              <w:rPr>
                <w:rFonts w:asciiTheme="minorHAnsi" w:eastAsia="Times New Roman" w:hAnsiTheme="minorHAnsi" w:cs="Arial"/>
                <w:color w:val="auto"/>
                <w:sz w:val="22"/>
              </w:rPr>
              <w:t>64,5</w:t>
            </w:r>
          </w:p>
        </w:tc>
      </w:tr>
      <w:tr w:rsidR="003F79FA" w:rsidRPr="00FD0388" w:rsidTr="00963697">
        <w:trPr>
          <w:trHeight w:val="300"/>
        </w:trPr>
        <w:tc>
          <w:tcPr>
            <w:tcW w:w="1134" w:type="dxa"/>
            <w:tcBorders>
              <w:top w:val="nil"/>
              <w:left w:val="nil"/>
              <w:bottom w:val="nil"/>
              <w:right w:val="nil"/>
            </w:tcBorders>
            <w:shd w:val="clear" w:color="auto" w:fill="auto"/>
            <w:noWrap/>
            <w:vAlign w:val="bottom"/>
            <w:hideMark/>
          </w:tcPr>
          <w:p w:rsidR="003F79FA" w:rsidRPr="006B37B1" w:rsidRDefault="003F79FA" w:rsidP="00963697">
            <w:pPr>
              <w:spacing w:after="0" w:line="240" w:lineRule="auto"/>
              <w:ind w:left="0" w:firstLine="0"/>
              <w:rPr>
                <w:rFonts w:asciiTheme="minorHAnsi" w:eastAsia="Times New Roman" w:hAnsiTheme="minorHAnsi" w:cs="Arial"/>
                <w:color w:val="auto"/>
                <w:sz w:val="22"/>
              </w:rPr>
            </w:pPr>
            <w:r w:rsidRPr="006B37B1">
              <w:rPr>
                <w:rFonts w:asciiTheme="minorHAnsi" w:eastAsia="Times New Roman" w:hAnsiTheme="minorHAnsi" w:cs="Arial"/>
                <w:color w:val="auto"/>
                <w:sz w:val="22"/>
              </w:rPr>
              <w:t>2016</w:t>
            </w:r>
          </w:p>
        </w:tc>
        <w:tc>
          <w:tcPr>
            <w:tcW w:w="1701" w:type="dxa"/>
            <w:tcBorders>
              <w:top w:val="nil"/>
              <w:left w:val="nil"/>
              <w:bottom w:val="nil"/>
              <w:right w:val="nil"/>
            </w:tcBorders>
            <w:shd w:val="clear" w:color="000000" w:fill="FFFFFF"/>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000000"/>
                <w:sz w:val="22"/>
              </w:rPr>
            </w:pPr>
            <w:r w:rsidRPr="006B37B1">
              <w:rPr>
                <w:rFonts w:asciiTheme="minorHAnsi" w:eastAsia="Times New Roman" w:hAnsiTheme="minorHAnsi" w:cs="Arial"/>
                <w:color w:val="000000"/>
                <w:sz w:val="22"/>
              </w:rPr>
              <w:t xml:space="preserve">   142 529 584</w:t>
            </w:r>
          </w:p>
        </w:tc>
        <w:tc>
          <w:tcPr>
            <w:tcW w:w="1418" w:type="dxa"/>
            <w:tcBorders>
              <w:top w:val="nil"/>
              <w:left w:val="nil"/>
              <w:bottom w:val="nil"/>
              <w:right w:val="nil"/>
            </w:tcBorders>
            <w:shd w:val="clear" w:color="000000" w:fill="FFFFFF"/>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000000"/>
                <w:sz w:val="22"/>
              </w:rPr>
            </w:pPr>
            <w:r w:rsidRPr="006B37B1">
              <w:rPr>
                <w:rFonts w:asciiTheme="minorHAnsi" w:eastAsia="Times New Roman" w:hAnsiTheme="minorHAnsi" w:cs="Arial"/>
                <w:color w:val="000000"/>
                <w:sz w:val="22"/>
              </w:rPr>
              <w:t xml:space="preserve">   198 618 235</w:t>
            </w:r>
          </w:p>
        </w:tc>
        <w:tc>
          <w:tcPr>
            <w:tcW w:w="1276" w:type="dxa"/>
            <w:tcBorders>
              <w:top w:val="nil"/>
              <w:left w:val="nil"/>
              <w:bottom w:val="nil"/>
              <w:right w:val="nil"/>
            </w:tcBorders>
            <w:shd w:val="clear" w:color="000000" w:fill="FFFFFF"/>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000000"/>
                <w:sz w:val="22"/>
              </w:rPr>
            </w:pPr>
            <w:r w:rsidRPr="006B37B1">
              <w:rPr>
                <w:rFonts w:asciiTheme="minorHAnsi" w:eastAsia="Times New Roman" w:hAnsiTheme="minorHAnsi" w:cs="Arial"/>
                <w:color w:val="000000"/>
                <w:sz w:val="22"/>
              </w:rPr>
              <w:t>-   56 088 651</w:t>
            </w:r>
          </w:p>
        </w:tc>
        <w:tc>
          <w:tcPr>
            <w:tcW w:w="1559" w:type="dxa"/>
            <w:tcBorders>
              <w:top w:val="nil"/>
              <w:left w:val="nil"/>
              <w:bottom w:val="nil"/>
              <w:right w:val="nil"/>
            </w:tcBorders>
            <w:shd w:val="clear" w:color="000000" w:fill="FFFFFF"/>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000000"/>
                <w:sz w:val="22"/>
              </w:rPr>
            </w:pPr>
            <w:r w:rsidRPr="006B37B1">
              <w:rPr>
                <w:rFonts w:asciiTheme="minorHAnsi" w:eastAsia="Times New Roman" w:hAnsiTheme="minorHAnsi" w:cs="Arial"/>
                <w:color w:val="000000"/>
                <w:sz w:val="22"/>
              </w:rPr>
              <w:t>71,8</w:t>
            </w:r>
          </w:p>
        </w:tc>
      </w:tr>
      <w:tr w:rsidR="003F79FA" w:rsidRPr="00FD0388" w:rsidTr="00963697">
        <w:trPr>
          <w:trHeight w:val="315"/>
        </w:trPr>
        <w:tc>
          <w:tcPr>
            <w:tcW w:w="1134" w:type="dxa"/>
            <w:tcBorders>
              <w:top w:val="nil"/>
              <w:left w:val="nil"/>
              <w:bottom w:val="single" w:sz="8" w:space="0" w:color="auto"/>
              <w:right w:val="nil"/>
            </w:tcBorders>
            <w:shd w:val="clear" w:color="auto" w:fill="auto"/>
            <w:noWrap/>
            <w:vAlign w:val="bottom"/>
            <w:hideMark/>
          </w:tcPr>
          <w:p w:rsidR="003F79FA" w:rsidRPr="006B37B1" w:rsidRDefault="003F79FA" w:rsidP="00963697">
            <w:pPr>
              <w:spacing w:after="0" w:line="240" w:lineRule="auto"/>
              <w:ind w:left="0" w:firstLine="0"/>
              <w:rPr>
                <w:rFonts w:asciiTheme="minorHAnsi" w:eastAsia="Times New Roman" w:hAnsiTheme="minorHAnsi" w:cs="Arial"/>
                <w:color w:val="auto"/>
                <w:sz w:val="22"/>
              </w:rPr>
            </w:pPr>
            <w:r w:rsidRPr="006B37B1">
              <w:rPr>
                <w:rFonts w:asciiTheme="minorHAnsi" w:eastAsia="Times New Roman" w:hAnsiTheme="minorHAnsi" w:cs="Arial"/>
                <w:color w:val="auto"/>
                <w:sz w:val="22"/>
              </w:rPr>
              <w:t>2017*</w:t>
            </w:r>
          </w:p>
        </w:tc>
        <w:tc>
          <w:tcPr>
            <w:tcW w:w="1701" w:type="dxa"/>
            <w:tcBorders>
              <w:top w:val="nil"/>
              <w:left w:val="nil"/>
              <w:bottom w:val="single" w:sz="8" w:space="0" w:color="auto"/>
              <w:right w:val="nil"/>
            </w:tcBorders>
            <w:shd w:val="clear" w:color="000000" w:fill="FFFFFF"/>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000000"/>
                <w:sz w:val="22"/>
              </w:rPr>
            </w:pPr>
            <w:r w:rsidRPr="006B37B1">
              <w:rPr>
                <w:rFonts w:asciiTheme="minorHAnsi" w:eastAsia="Times New Roman" w:hAnsiTheme="minorHAnsi" w:cs="Arial"/>
                <w:color w:val="000000"/>
                <w:sz w:val="22"/>
              </w:rPr>
              <w:t xml:space="preserve">   156 996 381</w:t>
            </w:r>
          </w:p>
        </w:tc>
        <w:tc>
          <w:tcPr>
            <w:tcW w:w="1418" w:type="dxa"/>
            <w:tcBorders>
              <w:top w:val="nil"/>
              <w:left w:val="nil"/>
              <w:bottom w:val="single" w:sz="8" w:space="0" w:color="auto"/>
              <w:right w:val="nil"/>
            </w:tcBorders>
            <w:shd w:val="clear" w:color="000000" w:fill="FFFFFF"/>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000000"/>
                <w:sz w:val="22"/>
              </w:rPr>
            </w:pPr>
            <w:r w:rsidRPr="006B37B1">
              <w:rPr>
                <w:rFonts w:asciiTheme="minorHAnsi" w:eastAsia="Times New Roman" w:hAnsiTheme="minorHAnsi" w:cs="Arial"/>
                <w:color w:val="000000"/>
                <w:sz w:val="22"/>
              </w:rPr>
              <w:t xml:space="preserve">   233 797 921</w:t>
            </w:r>
          </w:p>
        </w:tc>
        <w:tc>
          <w:tcPr>
            <w:tcW w:w="1276" w:type="dxa"/>
            <w:tcBorders>
              <w:top w:val="nil"/>
              <w:left w:val="nil"/>
              <w:bottom w:val="single" w:sz="8" w:space="0" w:color="auto"/>
              <w:right w:val="nil"/>
            </w:tcBorders>
            <w:shd w:val="clear" w:color="000000" w:fill="FFFFFF"/>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000000"/>
                <w:sz w:val="22"/>
              </w:rPr>
            </w:pPr>
            <w:r w:rsidRPr="006B37B1">
              <w:rPr>
                <w:rFonts w:asciiTheme="minorHAnsi" w:eastAsia="Times New Roman" w:hAnsiTheme="minorHAnsi" w:cs="Arial"/>
                <w:color w:val="000000"/>
                <w:sz w:val="22"/>
              </w:rPr>
              <w:t>-   76 801 540</w:t>
            </w:r>
          </w:p>
        </w:tc>
        <w:tc>
          <w:tcPr>
            <w:tcW w:w="1559" w:type="dxa"/>
            <w:tcBorders>
              <w:top w:val="nil"/>
              <w:left w:val="nil"/>
              <w:bottom w:val="single" w:sz="8" w:space="0" w:color="auto"/>
              <w:right w:val="nil"/>
            </w:tcBorders>
            <w:shd w:val="clear" w:color="000000" w:fill="FFFFFF"/>
            <w:noWrap/>
            <w:vAlign w:val="bottom"/>
            <w:hideMark/>
          </w:tcPr>
          <w:p w:rsidR="003F79FA" w:rsidRPr="006B37B1" w:rsidRDefault="003F79FA" w:rsidP="00963697">
            <w:pPr>
              <w:spacing w:after="0" w:line="240" w:lineRule="auto"/>
              <w:ind w:left="0" w:firstLine="0"/>
              <w:jc w:val="right"/>
              <w:rPr>
                <w:rFonts w:asciiTheme="minorHAnsi" w:eastAsia="Times New Roman" w:hAnsiTheme="minorHAnsi" w:cs="Arial"/>
                <w:color w:val="000000"/>
                <w:sz w:val="22"/>
              </w:rPr>
            </w:pPr>
            <w:r w:rsidRPr="006B37B1">
              <w:rPr>
                <w:rFonts w:asciiTheme="minorHAnsi" w:eastAsia="Times New Roman" w:hAnsiTheme="minorHAnsi" w:cs="Arial"/>
                <w:color w:val="000000"/>
                <w:sz w:val="22"/>
              </w:rPr>
              <w:t>67,2</w:t>
            </w:r>
          </w:p>
        </w:tc>
      </w:tr>
    </w:tbl>
    <w:p w:rsidR="003F79FA" w:rsidRPr="00FD0388" w:rsidRDefault="003F79FA" w:rsidP="003F79FA">
      <w:pPr>
        <w:jc w:val="both"/>
        <w:rPr>
          <w:rFonts w:asciiTheme="minorHAnsi" w:hAnsiTheme="minorHAnsi"/>
          <w:sz w:val="22"/>
        </w:rPr>
      </w:pPr>
    </w:p>
    <w:p w:rsidR="003F79FA" w:rsidRPr="00FD0388" w:rsidRDefault="003F79FA" w:rsidP="003F79FA">
      <w:pPr>
        <w:jc w:val="both"/>
        <w:rPr>
          <w:rFonts w:asciiTheme="minorHAnsi" w:hAnsiTheme="minorHAnsi"/>
          <w:sz w:val="22"/>
        </w:rPr>
      </w:pPr>
      <w:r w:rsidRPr="00FD0388">
        <w:rPr>
          <w:rFonts w:asciiTheme="minorHAnsi" w:hAnsiTheme="minorHAnsi"/>
          <w:sz w:val="22"/>
        </w:rPr>
        <w:t xml:space="preserve">MERKEZ BANKASI RAPORUNDAN SEÇMELER: </w:t>
      </w:r>
    </w:p>
    <w:p w:rsidR="003F79FA" w:rsidRPr="00FD0388" w:rsidRDefault="003F79FA" w:rsidP="003F79FA">
      <w:pPr>
        <w:jc w:val="both"/>
        <w:rPr>
          <w:rFonts w:asciiTheme="minorHAnsi" w:hAnsiTheme="minorHAnsi"/>
          <w:sz w:val="22"/>
        </w:rPr>
      </w:pPr>
      <w:proofErr w:type="spellStart"/>
      <w:r w:rsidRPr="00FD0388">
        <w:rPr>
          <w:rFonts w:asciiTheme="minorHAnsi" w:hAnsiTheme="minorHAnsi"/>
          <w:sz w:val="22"/>
        </w:rPr>
        <w:t>Tüik</w:t>
      </w:r>
      <w:proofErr w:type="spellEnd"/>
      <w:r w:rsidRPr="00FD0388">
        <w:rPr>
          <w:rFonts w:asciiTheme="minorHAnsi" w:hAnsiTheme="minorHAnsi"/>
          <w:sz w:val="22"/>
        </w:rPr>
        <w:t xml:space="preserve"> ten alınan bu ön bilgi ve rakamlardan sonra Merkez Bankası Mayıs 2018 Finansal İstikrar raporundan yaptığımız alıntıları da paylaşalım. Bazı cümleleri kısalttım.  </w:t>
      </w:r>
    </w:p>
    <w:p w:rsidR="003F79FA" w:rsidRPr="00FD0388" w:rsidRDefault="003F79FA" w:rsidP="003F79FA">
      <w:pPr>
        <w:pStyle w:val="Balk2"/>
        <w:ind w:left="1128"/>
        <w:jc w:val="both"/>
        <w:rPr>
          <w:rFonts w:asciiTheme="minorHAnsi" w:hAnsiTheme="minorHAnsi"/>
          <w:color w:val="auto"/>
          <w:sz w:val="24"/>
          <w:szCs w:val="24"/>
        </w:rPr>
      </w:pPr>
      <w:r w:rsidRPr="00FD0388">
        <w:rPr>
          <w:rFonts w:asciiTheme="minorHAnsi" w:hAnsiTheme="minorHAnsi"/>
          <w:color w:val="auto"/>
          <w:sz w:val="24"/>
          <w:szCs w:val="24"/>
        </w:rPr>
        <w:lastRenderedPageBreak/>
        <w:t xml:space="preserve">I. Genel Değerlendirme </w:t>
      </w:r>
    </w:p>
    <w:p w:rsidR="003F79FA" w:rsidRPr="00FD0388" w:rsidRDefault="003F79FA" w:rsidP="003F79FA">
      <w:pPr>
        <w:ind w:left="1128" w:right="15"/>
        <w:jc w:val="both"/>
        <w:rPr>
          <w:rFonts w:asciiTheme="minorHAnsi" w:hAnsiTheme="minorHAnsi"/>
          <w:sz w:val="22"/>
        </w:rPr>
      </w:pPr>
      <w:r w:rsidRPr="00FD0388">
        <w:rPr>
          <w:rFonts w:asciiTheme="minorHAnsi" w:hAnsiTheme="minorHAnsi"/>
          <w:sz w:val="22"/>
        </w:rPr>
        <w:t xml:space="preserve">1.Küresel büyüme, artan korumacılık eğilimleri ve jeopolitik risklere rağmen olumludur. Gelişmiş ve gelişmekte olan ülkeler (GOÜ) için önümüzdeki dönem büyüme tahminleri yukarı yönlüdür. Gelişmiş ülke para politikalarında normalleşme beklenmekte,  bazı GOÜ’lerde ise 2019 yılı için sıkılaşma eğilimi öngörülmektedir.  </w:t>
      </w:r>
    </w:p>
    <w:p w:rsidR="003F79FA" w:rsidRPr="00FD0388" w:rsidRDefault="003F79FA" w:rsidP="003F79FA">
      <w:pPr>
        <w:ind w:left="1128" w:right="15"/>
        <w:jc w:val="both"/>
        <w:rPr>
          <w:rFonts w:asciiTheme="minorHAnsi" w:hAnsiTheme="minorHAnsi"/>
          <w:sz w:val="22"/>
        </w:rPr>
      </w:pPr>
      <w:r w:rsidRPr="00FD0388">
        <w:rPr>
          <w:rFonts w:asciiTheme="minorHAnsi" w:hAnsiTheme="minorHAnsi"/>
          <w:sz w:val="22"/>
        </w:rPr>
        <w:t xml:space="preserve">2.Küresel politikalar,  ABD kaynaklı gelişmelerle küresel ticaret politikalarındaki değişimlere bağlanmaktadır.   Korumacı politikalar ve ABD </w:t>
      </w:r>
      <w:proofErr w:type="spellStart"/>
      <w:r w:rsidRPr="00FD0388">
        <w:rPr>
          <w:rFonts w:asciiTheme="minorHAnsi" w:hAnsiTheme="minorHAnsi"/>
          <w:sz w:val="22"/>
        </w:rPr>
        <w:t>nin</w:t>
      </w:r>
      <w:proofErr w:type="spellEnd"/>
      <w:r w:rsidRPr="00FD0388">
        <w:rPr>
          <w:rFonts w:asciiTheme="minorHAnsi" w:hAnsiTheme="minorHAnsi"/>
          <w:sz w:val="22"/>
        </w:rPr>
        <w:t xml:space="preserve"> tavrının ne olacağı bilinmemektedir. Bu yüzden tahminler zorlaşmaktadır.  İngiltere ve AB de ise belirsizlikler azalmıştır.</w:t>
      </w:r>
    </w:p>
    <w:p w:rsidR="003F79FA" w:rsidRPr="00FD0388" w:rsidRDefault="003F79FA" w:rsidP="003F79FA">
      <w:pPr>
        <w:ind w:left="1128" w:right="15"/>
        <w:jc w:val="both"/>
        <w:rPr>
          <w:rFonts w:asciiTheme="minorHAnsi" w:hAnsiTheme="minorHAnsi"/>
          <w:sz w:val="22"/>
        </w:rPr>
      </w:pPr>
      <w:r w:rsidRPr="00FD0388">
        <w:rPr>
          <w:rFonts w:asciiTheme="minorHAnsi" w:hAnsiTheme="minorHAnsi"/>
          <w:sz w:val="22"/>
        </w:rPr>
        <w:t xml:space="preserve">3. 2018 yılında GOÜ </w:t>
      </w:r>
      <w:proofErr w:type="spellStart"/>
      <w:r w:rsidRPr="00FD0388">
        <w:rPr>
          <w:rFonts w:asciiTheme="minorHAnsi" w:hAnsiTheme="minorHAnsi"/>
          <w:sz w:val="22"/>
        </w:rPr>
        <w:t>lere</w:t>
      </w:r>
      <w:proofErr w:type="spellEnd"/>
      <w:r w:rsidRPr="00FD0388">
        <w:rPr>
          <w:rFonts w:asciiTheme="minorHAnsi" w:hAnsiTheme="minorHAnsi"/>
          <w:sz w:val="22"/>
        </w:rPr>
        <w:t xml:space="preserve"> yönelik </w:t>
      </w:r>
      <w:proofErr w:type="gramStart"/>
      <w:r w:rsidRPr="00FD0388">
        <w:rPr>
          <w:rFonts w:asciiTheme="minorHAnsi" w:hAnsiTheme="minorHAnsi"/>
          <w:sz w:val="22"/>
        </w:rPr>
        <w:t>portföy</w:t>
      </w:r>
      <w:proofErr w:type="gramEnd"/>
      <w:r w:rsidRPr="00FD0388">
        <w:rPr>
          <w:rFonts w:asciiTheme="minorHAnsi" w:hAnsiTheme="minorHAnsi"/>
          <w:sz w:val="22"/>
        </w:rPr>
        <w:t xml:space="preserve"> akımlarında artış olmuştur. Ancak 2018 yılı Nisan ayından bu yana </w:t>
      </w:r>
      <w:proofErr w:type="gramStart"/>
      <w:r w:rsidRPr="00FD0388">
        <w:rPr>
          <w:rFonts w:asciiTheme="minorHAnsi" w:hAnsiTheme="minorHAnsi"/>
          <w:sz w:val="22"/>
        </w:rPr>
        <w:t>portföy</w:t>
      </w:r>
      <w:proofErr w:type="gramEnd"/>
      <w:r w:rsidRPr="00FD0388">
        <w:rPr>
          <w:rFonts w:asciiTheme="minorHAnsi" w:hAnsiTheme="minorHAnsi"/>
          <w:sz w:val="22"/>
        </w:rPr>
        <w:t xml:space="preserve"> hareketlerinde azalma gözlemlenmiştir. </w:t>
      </w:r>
    </w:p>
    <w:p w:rsidR="003F79FA" w:rsidRPr="00FD0388" w:rsidRDefault="003F79FA" w:rsidP="003F79FA">
      <w:pPr>
        <w:ind w:left="1128" w:right="15"/>
        <w:jc w:val="both"/>
        <w:rPr>
          <w:rFonts w:asciiTheme="minorHAnsi" w:hAnsiTheme="minorHAnsi"/>
          <w:sz w:val="22"/>
        </w:rPr>
      </w:pPr>
      <w:r w:rsidRPr="00FD0388">
        <w:rPr>
          <w:rFonts w:asciiTheme="minorHAnsi" w:hAnsiTheme="minorHAnsi"/>
          <w:sz w:val="22"/>
        </w:rPr>
        <w:t xml:space="preserve">4. Yurt içi iktisadi faaliyet ise alınan ek tedbirler ve kamu kaynaklı artan yurt içi nihai talep ile güçlü seyrini korumaktadır. </w:t>
      </w:r>
    </w:p>
    <w:p w:rsidR="003F79FA" w:rsidRPr="00FD0388" w:rsidRDefault="003F79FA" w:rsidP="003F79FA">
      <w:pPr>
        <w:ind w:left="1128" w:right="15"/>
        <w:jc w:val="both"/>
        <w:rPr>
          <w:rFonts w:asciiTheme="minorHAnsi" w:hAnsiTheme="minorHAnsi"/>
          <w:sz w:val="22"/>
        </w:rPr>
      </w:pPr>
      <w:r w:rsidRPr="00FD0388">
        <w:rPr>
          <w:rFonts w:asciiTheme="minorHAnsi" w:hAnsiTheme="minorHAnsi"/>
          <w:sz w:val="22"/>
        </w:rPr>
        <w:t>5. Sanayi üretimi ve istihdam gelişmeleri, iktisadi faaliyetteki olumlu görünümün 2018 yılında da devam edeceğine işaret etmektedir.</w:t>
      </w:r>
    </w:p>
    <w:p w:rsidR="003F79FA" w:rsidRPr="00FD0388" w:rsidRDefault="003F79FA" w:rsidP="003F79FA">
      <w:pPr>
        <w:ind w:left="1128" w:right="15"/>
        <w:jc w:val="both"/>
        <w:rPr>
          <w:rFonts w:asciiTheme="minorHAnsi" w:hAnsiTheme="minorHAnsi"/>
          <w:sz w:val="22"/>
        </w:rPr>
      </w:pPr>
      <w:r w:rsidRPr="00FD0388">
        <w:rPr>
          <w:rFonts w:asciiTheme="minorHAnsi" w:hAnsiTheme="minorHAnsi"/>
          <w:sz w:val="22"/>
        </w:rPr>
        <w:t xml:space="preserve">6. Başta Kredi Garanti Fonu (KGF) kefaleti olmak üzere, 2017 yılında getirilen tedbir ve teşviklerin etkisiyle firma teminatlarının güçlenmesi ve devamında gelen hızlı kredi genişlemesi iktisadi faaliyetin normalleşmesiyle dengelenmekte ve uzun dönem patikasına yakınsamaktadır.    </w:t>
      </w:r>
    </w:p>
    <w:p w:rsidR="003F79FA" w:rsidRPr="00FD0388" w:rsidRDefault="003F79FA" w:rsidP="003F79FA">
      <w:pPr>
        <w:spacing w:after="0"/>
        <w:ind w:left="1128" w:right="15"/>
        <w:jc w:val="both"/>
        <w:rPr>
          <w:rFonts w:asciiTheme="minorHAnsi" w:hAnsiTheme="minorHAnsi"/>
          <w:sz w:val="22"/>
        </w:rPr>
      </w:pPr>
      <w:r w:rsidRPr="00FD0388">
        <w:rPr>
          <w:rFonts w:asciiTheme="minorHAnsi" w:hAnsiTheme="minorHAnsi"/>
          <w:sz w:val="22"/>
        </w:rPr>
        <w:t xml:space="preserve"> 7. Reel kesimin finansal kaldıraç oranı, 2017 yılı başından itibaren yüzde 60 seviyesine yakın yatay bir patikada hareket etmektedir.</w:t>
      </w:r>
    </w:p>
    <w:p w:rsidR="003F79FA" w:rsidRPr="00FD0388" w:rsidRDefault="003F79FA" w:rsidP="003F79FA">
      <w:pPr>
        <w:spacing w:after="0"/>
        <w:ind w:left="1128" w:right="15"/>
        <w:jc w:val="both"/>
        <w:rPr>
          <w:rFonts w:asciiTheme="minorHAnsi" w:hAnsiTheme="minorHAnsi"/>
          <w:sz w:val="22"/>
        </w:rPr>
      </w:pPr>
    </w:p>
    <w:p w:rsidR="003F79FA" w:rsidRPr="00FD0388" w:rsidRDefault="003F79FA" w:rsidP="003F79FA">
      <w:pPr>
        <w:spacing w:after="0"/>
        <w:ind w:left="1128" w:right="15"/>
        <w:jc w:val="both"/>
        <w:rPr>
          <w:rFonts w:asciiTheme="minorHAnsi" w:hAnsiTheme="minorHAnsi"/>
          <w:sz w:val="22"/>
        </w:rPr>
      </w:pPr>
      <w:r w:rsidRPr="00FD0388">
        <w:rPr>
          <w:rFonts w:asciiTheme="minorHAnsi" w:hAnsiTheme="minorHAnsi"/>
          <w:sz w:val="22"/>
        </w:rPr>
        <w:t>8. 2017 yılında KGF kefaleti desteğiyle Türk lirası (TL) kredi hacmi önemli ölçüde artmış, iktisadi faaliyette benzer büyüme olmuş. Bunun sonucunda reel kesimin TL finansal borç / GSYİH oranı yatay seyretmektedir.</w:t>
      </w:r>
    </w:p>
    <w:p w:rsidR="003F79FA" w:rsidRPr="00FD0388" w:rsidRDefault="003F79FA" w:rsidP="003F79FA">
      <w:pPr>
        <w:spacing w:after="0"/>
        <w:ind w:left="1128" w:right="15"/>
        <w:jc w:val="both"/>
        <w:rPr>
          <w:rFonts w:asciiTheme="minorHAnsi" w:hAnsiTheme="minorHAnsi"/>
          <w:sz w:val="22"/>
        </w:rPr>
      </w:pPr>
    </w:p>
    <w:p w:rsidR="003F79FA" w:rsidRPr="00FD0388" w:rsidRDefault="003F79FA" w:rsidP="003F79FA">
      <w:pPr>
        <w:ind w:left="1128" w:right="15"/>
        <w:jc w:val="both"/>
        <w:rPr>
          <w:rFonts w:asciiTheme="minorHAnsi" w:hAnsiTheme="minorHAnsi"/>
          <w:sz w:val="22"/>
        </w:rPr>
      </w:pPr>
      <w:r w:rsidRPr="00FD0388">
        <w:rPr>
          <w:rFonts w:asciiTheme="minorHAnsi" w:hAnsiTheme="minorHAnsi"/>
          <w:sz w:val="22"/>
        </w:rPr>
        <w:t xml:space="preserve"> 9. Kur seviyesi ve oynaklığındaki artış ile birlikte kur riskinin yönetilmesine yönelik oluşturulan piyasa farkındalığı neticesinde reel kesimin yabancı para (YP) cinsi finansal borçlarının GSYİH içindeki payı 2017 yılında azalmıştır. </w:t>
      </w:r>
    </w:p>
    <w:p w:rsidR="003F79FA" w:rsidRPr="00FD0388" w:rsidRDefault="003F79FA" w:rsidP="003F79FA">
      <w:pPr>
        <w:ind w:left="1128" w:right="15"/>
        <w:jc w:val="both"/>
        <w:rPr>
          <w:rFonts w:asciiTheme="minorHAnsi" w:hAnsiTheme="minorHAnsi"/>
          <w:sz w:val="22"/>
        </w:rPr>
      </w:pPr>
      <w:r w:rsidRPr="00FD0388">
        <w:rPr>
          <w:rFonts w:asciiTheme="minorHAnsi" w:hAnsiTheme="minorHAnsi"/>
          <w:sz w:val="22"/>
        </w:rPr>
        <w:t xml:space="preserve">10. Diğer taraftan, </w:t>
      </w:r>
      <w:proofErr w:type="spellStart"/>
      <w:r w:rsidRPr="00FD0388">
        <w:rPr>
          <w:rFonts w:asciiTheme="minorHAnsi" w:hAnsiTheme="minorHAnsi"/>
          <w:sz w:val="22"/>
        </w:rPr>
        <w:t>hanehalkı</w:t>
      </w:r>
      <w:proofErr w:type="spellEnd"/>
      <w:r w:rsidRPr="00FD0388">
        <w:rPr>
          <w:rFonts w:asciiTheme="minorHAnsi" w:hAnsiTheme="minorHAnsi"/>
          <w:sz w:val="22"/>
        </w:rPr>
        <w:t xml:space="preserve"> borcu/GSYİH oranı 2017 </w:t>
      </w:r>
      <w:proofErr w:type="gramStart"/>
      <w:r w:rsidRPr="00FD0388">
        <w:rPr>
          <w:rFonts w:asciiTheme="minorHAnsi" w:hAnsiTheme="minorHAnsi"/>
          <w:sz w:val="22"/>
        </w:rPr>
        <w:t>yıl sonu</w:t>
      </w:r>
      <w:proofErr w:type="gramEnd"/>
      <w:r w:rsidRPr="00FD0388">
        <w:rPr>
          <w:rFonts w:asciiTheme="minorHAnsi" w:hAnsiTheme="minorHAnsi"/>
          <w:sz w:val="22"/>
        </w:rPr>
        <w:t xml:space="preserve"> itibarıyla yüzde 18 seviyesinde olup benzer GOÜ’lerde bu oran yüzde 30 dur. Tüketici kredisi ve kredi kartı kullanımına ilişkin alınan ihtiyati önlemlerle borçluluk göstergelerinin olumlu görünümünü koruduğu anlaşılmaktadır. </w:t>
      </w:r>
    </w:p>
    <w:p w:rsidR="003F79FA" w:rsidRPr="00FD0388" w:rsidRDefault="003F79FA" w:rsidP="003F79FA">
      <w:pPr>
        <w:ind w:left="1128" w:right="15"/>
        <w:jc w:val="both"/>
        <w:rPr>
          <w:rFonts w:asciiTheme="minorHAnsi" w:hAnsiTheme="minorHAnsi"/>
          <w:sz w:val="22"/>
        </w:rPr>
      </w:pPr>
      <w:r w:rsidRPr="00FD0388">
        <w:rPr>
          <w:rFonts w:asciiTheme="minorHAnsi" w:hAnsiTheme="minorHAnsi"/>
          <w:sz w:val="22"/>
        </w:rPr>
        <w:t>11. Reel sektör YP açık pozisyonunda uzun süredir gözlenen artış eğilimi 2017 yılında bir miktar yavaşlasa da son veri itibarıyla açık pozisyon tutarı 221 milyar ABD doları olarak gerçekleşmiştir.</w:t>
      </w:r>
    </w:p>
    <w:p w:rsidR="003F79FA" w:rsidRPr="00FD0388" w:rsidRDefault="003F79FA" w:rsidP="003F79FA">
      <w:pPr>
        <w:ind w:left="1128" w:right="15"/>
        <w:jc w:val="both"/>
        <w:rPr>
          <w:rFonts w:asciiTheme="minorHAnsi" w:hAnsiTheme="minorHAnsi"/>
          <w:sz w:val="22"/>
        </w:rPr>
      </w:pPr>
      <w:r w:rsidRPr="00FD0388">
        <w:rPr>
          <w:rFonts w:asciiTheme="minorHAnsi" w:hAnsiTheme="minorHAnsi"/>
          <w:sz w:val="22"/>
        </w:rPr>
        <w:t xml:space="preserve">12. Yüksek miktardaki YP borcu, YP gelir ve varlığı yeterli seviyede olmayan veya vade uyumsuzluğu taşıyan firmaların kur şoklarına karşı kırılganlığını artırabilmekte ve belirsizliğin arttığı dönemlerde firmaları, borcun geri ödemesindeki kur riskini azaltmak için yüksek </w:t>
      </w:r>
      <w:proofErr w:type="spellStart"/>
      <w:r w:rsidRPr="00FD0388">
        <w:rPr>
          <w:rFonts w:asciiTheme="minorHAnsi" w:hAnsiTheme="minorHAnsi"/>
          <w:sz w:val="22"/>
        </w:rPr>
        <w:t>montanlı</w:t>
      </w:r>
      <w:proofErr w:type="spellEnd"/>
      <w:r w:rsidRPr="00FD0388">
        <w:rPr>
          <w:rFonts w:asciiTheme="minorHAnsi" w:hAnsiTheme="minorHAnsi"/>
          <w:sz w:val="22"/>
        </w:rPr>
        <w:t xml:space="preserve"> döviz alımlarına yöneltebilmektedir. </w:t>
      </w:r>
    </w:p>
    <w:p w:rsidR="003F79FA" w:rsidRPr="00FD0388" w:rsidRDefault="003F79FA" w:rsidP="003F79FA">
      <w:pPr>
        <w:ind w:left="1128" w:right="15"/>
        <w:jc w:val="both"/>
        <w:rPr>
          <w:rFonts w:asciiTheme="minorHAnsi" w:hAnsiTheme="minorHAnsi"/>
          <w:sz w:val="22"/>
        </w:rPr>
      </w:pPr>
      <w:r w:rsidRPr="00FD0388">
        <w:rPr>
          <w:rFonts w:asciiTheme="minorHAnsi" w:hAnsiTheme="minorHAnsi"/>
          <w:sz w:val="22"/>
        </w:rPr>
        <w:t>13. Bu nedenle YP geliri olmayan firmaların YP borç yükünün azaltılmasına yönelik tedbirler, önem arz etmektedir.</w:t>
      </w:r>
    </w:p>
    <w:p w:rsidR="003F79FA" w:rsidRPr="00FD0388" w:rsidRDefault="003F79FA" w:rsidP="003F79FA">
      <w:pPr>
        <w:ind w:left="1128" w:right="15"/>
        <w:jc w:val="both"/>
        <w:rPr>
          <w:rFonts w:asciiTheme="minorHAnsi" w:hAnsiTheme="minorHAnsi"/>
          <w:sz w:val="22"/>
        </w:rPr>
      </w:pPr>
      <w:r w:rsidRPr="00FD0388">
        <w:rPr>
          <w:rFonts w:asciiTheme="minorHAnsi" w:hAnsiTheme="minorHAnsi"/>
          <w:sz w:val="22"/>
        </w:rPr>
        <w:t xml:space="preserve">14.  Bu bağlamda, 32 Sayılı Karar’da yapılan değişiklik ile döviz geliri olmayan firmalara getirilen YP borç düzenlemesi, dövize endeksli kredi kullanımına son verilmesi ve TCMB </w:t>
      </w:r>
      <w:r w:rsidRPr="00FD0388">
        <w:rPr>
          <w:rFonts w:asciiTheme="minorHAnsi" w:hAnsiTheme="minorHAnsi"/>
          <w:sz w:val="22"/>
        </w:rPr>
        <w:lastRenderedPageBreak/>
        <w:t xml:space="preserve">nezdinde kur riskinin yönetilmesine ilişkin başlatılan Sistemik Risk Veri Takip Sistemi’ni (SRVTS) esas alan çalışmalar, finansal istikrara katkıda bulunacaktır.  </w:t>
      </w:r>
    </w:p>
    <w:p w:rsidR="0046324D" w:rsidRDefault="0046324D"/>
    <w:p w:rsidR="003F79FA" w:rsidRDefault="003F79FA">
      <w:r>
        <w:t>Yazının Devamı Haftaya</w:t>
      </w:r>
    </w:p>
    <w:p w:rsidR="003F79FA" w:rsidRDefault="003F79FA"/>
    <w:p w:rsidR="003F79FA" w:rsidRPr="003F79FA" w:rsidRDefault="003F79FA" w:rsidP="003F79FA">
      <w:pPr>
        <w:ind w:left="6680" w:firstLine="0"/>
        <w:rPr>
          <w:b/>
        </w:rPr>
      </w:pPr>
      <w:r>
        <w:rPr>
          <w:b/>
        </w:rPr>
        <w:t xml:space="preserve"> </w:t>
      </w:r>
      <w:r w:rsidRPr="003F79FA">
        <w:rPr>
          <w:b/>
        </w:rPr>
        <w:t>Yeminli Mali Müşavir</w:t>
      </w:r>
    </w:p>
    <w:p w:rsidR="003F79FA" w:rsidRPr="003F79FA" w:rsidRDefault="003F79FA">
      <w:pPr>
        <w:rPr>
          <w:b/>
        </w:rPr>
      </w:pPr>
      <w:r w:rsidRPr="003F79FA">
        <w:rPr>
          <w:b/>
        </w:rPr>
        <w:t xml:space="preserve"> </w:t>
      </w:r>
      <w:r>
        <w:rPr>
          <w:b/>
        </w:rPr>
        <w:tab/>
      </w:r>
      <w:r>
        <w:rPr>
          <w:b/>
        </w:rPr>
        <w:tab/>
      </w:r>
      <w:r>
        <w:rPr>
          <w:b/>
        </w:rPr>
        <w:tab/>
      </w:r>
      <w:r>
        <w:rPr>
          <w:b/>
        </w:rPr>
        <w:tab/>
      </w:r>
      <w:r>
        <w:rPr>
          <w:b/>
        </w:rPr>
        <w:tab/>
      </w:r>
      <w:r>
        <w:rPr>
          <w:b/>
        </w:rPr>
        <w:tab/>
      </w:r>
      <w:r>
        <w:rPr>
          <w:b/>
        </w:rPr>
        <w:tab/>
      </w:r>
      <w:r>
        <w:rPr>
          <w:b/>
        </w:rPr>
        <w:tab/>
        <w:t xml:space="preserve">          </w:t>
      </w:r>
      <w:r w:rsidRPr="003F79FA">
        <w:rPr>
          <w:b/>
        </w:rPr>
        <w:t>Cevdet Akçakoca</w:t>
      </w:r>
    </w:p>
    <w:sectPr w:rsidR="003F79FA" w:rsidRPr="003F7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FA"/>
    <w:rsid w:val="003F79FA"/>
    <w:rsid w:val="004632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DF81A-6E01-4345-8940-4E1E041E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9FA"/>
    <w:pPr>
      <w:spacing w:after="113" w:line="248" w:lineRule="auto"/>
      <w:ind w:left="1016" w:hanging="10"/>
    </w:pPr>
    <w:rPr>
      <w:rFonts w:ascii="Calibri" w:eastAsia="Calibri" w:hAnsi="Calibri" w:cs="Calibri"/>
      <w:color w:val="404040"/>
      <w:sz w:val="23"/>
      <w:lang w:eastAsia="tr-TR"/>
    </w:rPr>
  </w:style>
  <w:style w:type="paragraph" w:styleId="Balk2">
    <w:name w:val="heading 2"/>
    <w:next w:val="Normal"/>
    <w:link w:val="Balk2Char"/>
    <w:uiPriority w:val="9"/>
    <w:unhideWhenUsed/>
    <w:qFormat/>
    <w:rsid w:val="003F79FA"/>
    <w:pPr>
      <w:keepNext/>
      <w:keepLines/>
      <w:spacing w:after="0"/>
      <w:ind w:left="1143" w:hanging="10"/>
      <w:outlineLvl w:val="1"/>
    </w:pPr>
    <w:rPr>
      <w:rFonts w:ascii="Calibri" w:eastAsia="Calibri" w:hAnsi="Calibri" w:cs="Calibri"/>
      <w:color w:val="008AAB"/>
      <w:sz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F79FA"/>
    <w:rPr>
      <w:rFonts w:ascii="Calibri" w:eastAsia="Calibri" w:hAnsi="Calibri" w:cs="Calibri"/>
      <w:color w:val="008AAB"/>
      <w:sz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4560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dc:creator>
  <cp:keywords/>
  <dc:description/>
  <cp:lastModifiedBy>T5</cp:lastModifiedBy>
  <cp:revision>1</cp:revision>
  <dcterms:created xsi:type="dcterms:W3CDTF">2018-06-12T06:27:00Z</dcterms:created>
  <dcterms:modified xsi:type="dcterms:W3CDTF">2018-06-12T06:29:00Z</dcterms:modified>
</cp:coreProperties>
</file>